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A44F" w14:textId="77777777" w:rsidR="00607865" w:rsidRPr="00607865" w:rsidRDefault="00607865" w:rsidP="00607865">
      <w:pPr>
        <w:rPr>
          <w:rFonts w:ascii="Calibri" w:eastAsia="Times New Roman" w:hAnsi="Calibri" w:cs="Calibri"/>
          <w:color w:val="000000"/>
          <w:lang w:eastAsia="nl-NL"/>
        </w:rPr>
      </w:pPr>
      <w:r w:rsidRPr="0060786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55D26954" w14:textId="77777777" w:rsidR="00607865" w:rsidRPr="00607865" w:rsidRDefault="00607865" w:rsidP="00607865">
      <w:pPr>
        <w:rPr>
          <w:rFonts w:ascii="Calibri" w:eastAsia="Times New Roman" w:hAnsi="Calibri" w:cs="Calibri"/>
          <w:color w:val="000000"/>
          <w:lang w:eastAsia="nl-NL"/>
        </w:rPr>
      </w:pPr>
      <w:r w:rsidRPr="0060786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390CFA4E" w14:textId="12BCC032" w:rsidR="00B6128A" w:rsidRDefault="00B6128A" w:rsidP="0060786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D2494A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Juridische aspecten van arbeidsconflicten</w:t>
      </w:r>
      <w:r w:rsidR="00D2494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;  Datum: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11 november 15.00- 17.</w:t>
      </w:r>
      <w:r w:rsidR="00F7551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30</w:t>
      </w:r>
    </w:p>
    <w:p w14:paraId="546F5B61" w14:textId="77777777" w:rsidR="00D2494A" w:rsidRDefault="00D2494A" w:rsidP="0060786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6C0A32A9" w14:textId="016908E5" w:rsidR="00D2494A" w:rsidRPr="00D2494A" w:rsidRDefault="00D2494A" w:rsidP="0060786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 w:rsidRPr="00D2494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Programma:</w:t>
      </w:r>
    </w:p>
    <w:p w14:paraId="36456997" w14:textId="38E5E8D8" w:rsidR="00B6128A" w:rsidRDefault="00D2494A" w:rsidP="0060786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15.00 – 15.05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  <w:t>Introductie + inleiding</w:t>
      </w:r>
    </w:p>
    <w:p w14:paraId="0C523259" w14:textId="5646C0A9" w:rsidR="00B6128A" w:rsidRDefault="00D2494A" w:rsidP="0060786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15.05 – 15.50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  <w:t xml:space="preserve">Spreker Linda Reijerkerk over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Mediation</w:t>
      </w:r>
      <w:proofErr w:type="spellEnd"/>
    </w:p>
    <w:p w14:paraId="4D69E759" w14:textId="14E1AFFC" w:rsidR="00D2494A" w:rsidRPr="00D2494A" w:rsidRDefault="00D2494A" w:rsidP="00D2494A">
      <w:pPr>
        <w:pStyle w:val="Lijstalinea"/>
        <w:numPr>
          <w:ilvl w:val="0"/>
          <w:numId w:val="8"/>
        </w:numPr>
        <w:rPr>
          <w:rFonts w:ascii="Calibri" w:hAnsi="Calibri" w:cs="Calibri"/>
          <w:color w:val="514F4F"/>
          <w:sz w:val="22"/>
          <w:szCs w:val="22"/>
        </w:rPr>
      </w:pPr>
      <w:r w:rsidRPr="00D2494A">
        <w:rPr>
          <w:rFonts w:ascii="Calibri" w:hAnsi="Calibri" w:cs="Calibri"/>
          <w:color w:val="514F4F"/>
          <w:sz w:val="22"/>
          <w:szCs w:val="22"/>
        </w:rPr>
        <w:t>Kennis van de diverse stijlen van conflicthantering</w:t>
      </w:r>
    </w:p>
    <w:p w14:paraId="72DD1F5D" w14:textId="77777777" w:rsidR="00D2494A" w:rsidRPr="00D2494A" w:rsidRDefault="00D2494A" w:rsidP="00D2494A">
      <w:pPr>
        <w:pStyle w:val="Lijstalinea"/>
        <w:numPr>
          <w:ilvl w:val="0"/>
          <w:numId w:val="8"/>
        </w:numPr>
        <w:rPr>
          <w:rFonts w:ascii="Calibri" w:hAnsi="Calibri" w:cs="Calibri"/>
          <w:color w:val="514F4F"/>
          <w:sz w:val="22"/>
          <w:szCs w:val="22"/>
        </w:rPr>
      </w:pPr>
      <w:r w:rsidRPr="00D2494A">
        <w:rPr>
          <w:rFonts w:ascii="Calibri" w:hAnsi="Calibri" w:cs="Calibri"/>
          <w:color w:val="514F4F"/>
          <w:sz w:val="22"/>
          <w:szCs w:val="22"/>
        </w:rPr>
        <w:t xml:space="preserve">Diverse vormen van </w:t>
      </w:r>
      <w:proofErr w:type="spellStart"/>
      <w:r w:rsidRPr="00D2494A">
        <w:rPr>
          <w:rFonts w:ascii="Calibri" w:hAnsi="Calibri" w:cs="Calibri"/>
          <w:color w:val="514F4F"/>
          <w:sz w:val="22"/>
          <w:szCs w:val="22"/>
        </w:rPr>
        <w:t>mediation</w:t>
      </w:r>
      <w:proofErr w:type="spellEnd"/>
    </w:p>
    <w:p w14:paraId="2809316A" w14:textId="77777777" w:rsidR="00D2494A" w:rsidRPr="00D2494A" w:rsidRDefault="00D2494A" w:rsidP="00D2494A">
      <w:pPr>
        <w:pStyle w:val="Lijstalinea"/>
        <w:numPr>
          <w:ilvl w:val="0"/>
          <w:numId w:val="8"/>
        </w:numPr>
        <w:rPr>
          <w:rFonts w:ascii="Calibri" w:hAnsi="Calibri" w:cs="Calibri"/>
          <w:color w:val="514F4F"/>
          <w:sz w:val="22"/>
          <w:szCs w:val="22"/>
        </w:rPr>
      </w:pPr>
      <w:r w:rsidRPr="00D2494A">
        <w:rPr>
          <w:rFonts w:ascii="Calibri" w:hAnsi="Calibri" w:cs="Calibri"/>
          <w:color w:val="514F4F"/>
          <w:sz w:val="22"/>
          <w:szCs w:val="22"/>
        </w:rPr>
        <w:t xml:space="preserve">Voor en nadelen van </w:t>
      </w:r>
      <w:proofErr w:type="spellStart"/>
      <w:r w:rsidRPr="00D2494A">
        <w:rPr>
          <w:rFonts w:ascii="Calibri" w:hAnsi="Calibri" w:cs="Calibri"/>
          <w:color w:val="514F4F"/>
          <w:sz w:val="22"/>
          <w:szCs w:val="22"/>
        </w:rPr>
        <w:t>mediation</w:t>
      </w:r>
      <w:proofErr w:type="spellEnd"/>
    </w:p>
    <w:p w14:paraId="32C91836" w14:textId="77777777" w:rsidR="00D2494A" w:rsidRDefault="00D2494A" w:rsidP="00607865">
      <w:pPr>
        <w:pStyle w:val="Lijstalinea"/>
        <w:numPr>
          <w:ilvl w:val="0"/>
          <w:numId w:val="8"/>
        </w:numPr>
        <w:rPr>
          <w:rFonts w:ascii="Calibri" w:hAnsi="Calibri" w:cs="Calibri"/>
          <w:color w:val="514F4F"/>
          <w:sz w:val="22"/>
          <w:szCs w:val="22"/>
        </w:rPr>
      </w:pPr>
      <w:r w:rsidRPr="00D2494A">
        <w:rPr>
          <w:rFonts w:ascii="Calibri" w:hAnsi="Calibri" w:cs="Calibri"/>
          <w:color w:val="514F4F"/>
          <w:sz w:val="22"/>
          <w:szCs w:val="22"/>
        </w:rPr>
        <w:t>De wijze waarop men als bedrijfsarts concreet kan adviseren bij arbeidsconflicten</w:t>
      </w:r>
    </w:p>
    <w:p w14:paraId="10A3A05A" w14:textId="18A9E095" w:rsidR="00F7551B" w:rsidRPr="00D2494A" w:rsidRDefault="00D2494A" w:rsidP="00D2494A">
      <w:pPr>
        <w:rPr>
          <w:rFonts w:ascii="Calibri" w:hAnsi="Calibri" w:cs="Calibri"/>
          <w:color w:val="514F4F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15.50 </w:t>
      </w:r>
      <w:r w:rsidRPr="00D2494A">
        <w:rPr>
          <w:rFonts w:ascii="Calibri" w:hAnsi="Calibri" w:cs="Calibri"/>
          <w:color w:val="000000"/>
          <w:sz w:val="22"/>
          <w:szCs w:val="22"/>
        </w:rPr>
        <w:t>– 16:30</w:t>
      </w:r>
      <w:r w:rsidRPr="00D2494A">
        <w:rPr>
          <w:rFonts w:ascii="Calibri" w:hAnsi="Calibri" w:cs="Calibri"/>
          <w:color w:val="000000"/>
          <w:sz w:val="22"/>
          <w:szCs w:val="22"/>
        </w:rPr>
        <w:tab/>
      </w:r>
      <w:r w:rsidR="00F7551B" w:rsidRPr="00D2494A">
        <w:rPr>
          <w:rFonts w:ascii="Calibri" w:hAnsi="Calibri" w:cs="Calibri"/>
          <w:color w:val="000000"/>
          <w:sz w:val="22"/>
          <w:szCs w:val="22"/>
        </w:rPr>
        <w:t xml:space="preserve">Spreker </w:t>
      </w:r>
      <w:r w:rsidRPr="00D2494A">
        <w:rPr>
          <w:rFonts w:ascii="Calibri" w:hAnsi="Calibri" w:cs="Calibri"/>
          <w:color w:val="000000"/>
          <w:sz w:val="22"/>
          <w:szCs w:val="22"/>
        </w:rPr>
        <w:t>Igor Jansen over arbeidsconflicten</w:t>
      </w:r>
    </w:p>
    <w:p w14:paraId="2E59861B" w14:textId="77777777" w:rsidR="00D2494A" w:rsidRPr="00D2494A" w:rsidRDefault="00D2494A" w:rsidP="00D2494A">
      <w:pPr>
        <w:pStyle w:val="Lijstalinea"/>
        <w:numPr>
          <w:ilvl w:val="0"/>
          <w:numId w:val="10"/>
        </w:numPr>
        <w:rPr>
          <w:rFonts w:ascii="Calibri" w:hAnsi="Calibri" w:cs="Calibri"/>
          <w:color w:val="514F4F"/>
          <w:sz w:val="22"/>
          <w:szCs w:val="22"/>
        </w:rPr>
      </w:pPr>
      <w:r w:rsidRPr="00D2494A">
        <w:rPr>
          <w:rFonts w:ascii="Calibri" w:hAnsi="Calibri" w:cs="Calibri"/>
          <w:color w:val="514F4F"/>
          <w:sz w:val="22"/>
          <w:szCs w:val="22"/>
        </w:rPr>
        <w:t>Kennis van de NVAB richtlijn arbeidsconflicten</w:t>
      </w:r>
    </w:p>
    <w:p w14:paraId="3B7A8004" w14:textId="77777777" w:rsidR="00D2494A" w:rsidRPr="00D2494A" w:rsidRDefault="00D2494A" w:rsidP="00D2494A">
      <w:pPr>
        <w:pStyle w:val="Lijstalinea"/>
        <w:numPr>
          <w:ilvl w:val="0"/>
          <w:numId w:val="10"/>
        </w:numPr>
        <w:rPr>
          <w:rFonts w:ascii="Calibri" w:hAnsi="Calibri" w:cs="Calibri"/>
          <w:color w:val="514F4F"/>
          <w:sz w:val="22"/>
          <w:szCs w:val="22"/>
        </w:rPr>
      </w:pPr>
      <w:r w:rsidRPr="00D2494A">
        <w:rPr>
          <w:rFonts w:ascii="Calibri" w:hAnsi="Calibri" w:cs="Calibri"/>
          <w:color w:val="514F4F"/>
          <w:sz w:val="22"/>
          <w:szCs w:val="22"/>
        </w:rPr>
        <w:t>Verschil NVAB richtlijn en STECR richtlijn arbeidsconflicten</w:t>
      </w:r>
    </w:p>
    <w:p w14:paraId="658DFADC" w14:textId="77777777" w:rsidR="00D2494A" w:rsidRPr="00D2494A" w:rsidRDefault="00D2494A" w:rsidP="00D2494A">
      <w:pPr>
        <w:pStyle w:val="Lijstalinea"/>
        <w:numPr>
          <w:ilvl w:val="0"/>
          <w:numId w:val="10"/>
        </w:numPr>
        <w:rPr>
          <w:rFonts w:ascii="Calibri" w:hAnsi="Calibri" w:cs="Calibri"/>
          <w:color w:val="514F4F"/>
          <w:sz w:val="22"/>
          <w:szCs w:val="22"/>
        </w:rPr>
      </w:pPr>
      <w:r w:rsidRPr="00D2494A">
        <w:rPr>
          <w:rFonts w:ascii="Calibri" w:hAnsi="Calibri" w:cs="Calibri"/>
          <w:color w:val="514F4F"/>
          <w:sz w:val="22"/>
          <w:szCs w:val="22"/>
        </w:rPr>
        <w:t>Kennis van de diverse fases binnen een arbeidsconflict</w:t>
      </w:r>
    </w:p>
    <w:p w14:paraId="61990A58" w14:textId="12DDA8DC" w:rsidR="00D2494A" w:rsidRPr="00D2494A" w:rsidRDefault="00D2494A" w:rsidP="00D2494A">
      <w:pPr>
        <w:pStyle w:val="Lijstalinea"/>
        <w:numPr>
          <w:ilvl w:val="0"/>
          <w:numId w:val="10"/>
        </w:numPr>
        <w:rPr>
          <w:rFonts w:ascii="Calibri" w:hAnsi="Calibri" w:cs="Calibri"/>
          <w:color w:val="514F4F"/>
          <w:sz w:val="22"/>
          <w:szCs w:val="22"/>
        </w:rPr>
      </w:pPr>
      <w:r w:rsidRPr="00D2494A">
        <w:rPr>
          <w:rFonts w:ascii="Calibri" w:hAnsi="Calibri" w:cs="Calibri"/>
          <w:color w:val="514F4F"/>
          <w:sz w:val="22"/>
          <w:szCs w:val="22"/>
        </w:rPr>
        <w:t>Gebruik van de time out periode</w:t>
      </w:r>
    </w:p>
    <w:p w14:paraId="3990EA84" w14:textId="77777777" w:rsidR="00D2494A" w:rsidRDefault="00D2494A" w:rsidP="0060786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607D3183" w14:textId="7B2276B9" w:rsidR="00F7551B" w:rsidRDefault="00D2494A" w:rsidP="0060786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16.30 – 16.40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="00F7551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Pauze </w:t>
      </w:r>
    </w:p>
    <w:p w14:paraId="74318307" w14:textId="77777777" w:rsidR="00D2494A" w:rsidRDefault="00D2494A" w:rsidP="0060786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17417EE6" w14:textId="670796D3" w:rsidR="00F7551B" w:rsidRPr="00D2494A" w:rsidRDefault="00D2494A" w:rsidP="00607865">
      <w:pPr>
        <w:rPr>
          <w:rFonts w:ascii="Calibri" w:eastAsia="Times New Roman" w:hAnsi="Calibri" w:cs="Calibri"/>
          <w:color w:val="000000"/>
          <w:sz w:val="22"/>
          <w:szCs w:val="22"/>
          <w:lang w:val="en-GB" w:eastAsia="nl-NL"/>
        </w:rPr>
      </w:pPr>
      <w:r w:rsidRPr="00D2494A">
        <w:rPr>
          <w:rFonts w:ascii="Calibri" w:eastAsia="Times New Roman" w:hAnsi="Calibri" w:cs="Calibri"/>
          <w:color w:val="000000"/>
          <w:sz w:val="22"/>
          <w:szCs w:val="22"/>
          <w:lang w:val="en-GB" w:eastAsia="nl-NL"/>
        </w:rPr>
        <w:t>16.40 – 17.15</w:t>
      </w:r>
      <w:r w:rsidRPr="00D2494A">
        <w:rPr>
          <w:rFonts w:ascii="Calibri" w:eastAsia="Times New Roman" w:hAnsi="Calibri" w:cs="Calibri"/>
          <w:color w:val="000000"/>
          <w:sz w:val="22"/>
          <w:szCs w:val="22"/>
          <w:lang w:val="en-GB" w:eastAsia="nl-NL"/>
        </w:rPr>
        <w:tab/>
      </w:r>
      <w:proofErr w:type="spellStart"/>
      <w:r w:rsidR="00F7551B" w:rsidRPr="00D2494A">
        <w:rPr>
          <w:rFonts w:ascii="Calibri" w:eastAsia="Times New Roman" w:hAnsi="Calibri" w:cs="Calibri"/>
          <w:color w:val="000000"/>
          <w:sz w:val="22"/>
          <w:szCs w:val="22"/>
          <w:lang w:val="en-GB" w:eastAsia="nl-NL"/>
        </w:rPr>
        <w:t>Spreker</w:t>
      </w:r>
      <w:proofErr w:type="spellEnd"/>
      <w:r w:rsidR="00F7551B" w:rsidRPr="00D2494A">
        <w:rPr>
          <w:rFonts w:ascii="Calibri" w:eastAsia="Times New Roman" w:hAnsi="Calibri" w:cs="Calibri"/>
          <w:color w:val="000000"/>
          <w:sz w:val="22"/>
          <w:szCs w:val="22"/>
          <w:lang w:val="en-GB" w:eastAsia="nl-NL"/>
        </w:rPr>
        <w:t xml:space="preserve"> </w:t>
      </w:r>
      <w:r w:rsidRPr="00D2494A">
        <w:rPr>
          <w:rFonts w:ascii="Calibri" w:eastAsia="Times New Roman" w:hAnsi="Calibri" w:cs="Calibri"/>
          <w:color w:val="000000"/>
          <w:sz w:val="22"/>
          <w:szCs w:val="22"/>
          <w:lang w:val="en-GB" w:eastAsia="nl-NL"/>
        </w:rPr>
        <w:t>Pim Berkhout over second opinion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nl-NL"/>
        </w:rPr>
        <w:t>s</w:t>
      </w:r>
    </w:p>
    <w:p w14:paraId="782261CC" w14:textId="77777777" w:rsidR="00D2494A" w:rsidRPr="00D2494A" w:rsidRDefault="00D2494A" w:rsidP="00D2494A">
      <w:pPr>
        <w:pStyle w:val="Lijstalinea"/>
        <w:numPr>
          <w:ilvl w:val="0"/>
          <w:numId w:val="11"/>
        </w:numPr>
        <w:rPr>
          <w:rFonts w:ascii="Calibri" w:hAnsi="Calibri" w:cs="Calibri"/>
          <w:color w:val="514F4F"/>
          <w:sz w:val="22"/>
          <w:szCs w:val="22"/>
        </w:rPr>
      </w:pPr>
      <w:r w:rsidRPr="00D2494A">
        <w:rPr>
          <w:rFonts w:ascii="Calibri" w:hAnsi="Calibri" w:cs="Calibri"/>
          <w:color w:val="514F4F"/>
          <w:sz w:val="22"/>
          <w:szCs w:val="22"/>
        </w:rPr>
        <w:t>Rol van de second opinion bedrijfsarts</w:t>
      </w:r>
    </w:p>
    <w:p w14:paraId="5A0EBD2E" w14:textId="77777777" w:rsidR="00D2494A" w:rsidRPr="00D2494A" w:rsidRDefault="00D2494A" w:rsidP="00D2494A">
      <w:pPr>
        <w:pStyle w:val="Lijstalinea"/>
        <w:numPr>
          <w:ilvl w:val="0"/>
          <w:numId w:val="11"/>
        </w:numPr>
        <w:rPr>
          <w:rFonts w:ascii="Calibri" w:hAnsi="Calibri" w:cs="Calibri"/>
          <w:color w:val="514F4F"/>
          <w:sz w:val="22"/>
          <w:szCs w:val="22"/>
        </w:rPr>
      </w:pPr>
      <w:r w:rsidRPr="00D2494A">
        <w:rPr>
          <w:rFonts w:ascii="Calibri" w:hAnsi="Calibri" w:cs="Calibri"/>
          <w:color w:val="514F4F"/>
          <w:sz w:val="22"/>
          <w:szCs w:val="22"/>
        </w:rPr>
        <w:t>Verschil en gebruik deskundigenoordeel en second opinion bedrijfsarts</w:t>
      </w:r>
    </w:p>
    <w:p w14:paraId="027C611C" w14:textId="77777777" w:rsidR="00D2494A" w:rsidRPr="00D2494A" w:rsidRDefault="00D2494A" w:rsidP="00D2494A">
      <w:pPr>
        <w:pStyle w:val="Lijstalinea"/>
        <w:numPr>
          <w:ilvl w:val="0"/>
          <w:numId w:val="11"/>
        </w:numPr>
        <w:rPr>
          <w:rFonts w:ascii="Calibri" w:hAnsi="Calibri" w:cs="Calibri"/>
          <w:color w:val="514F4F"/>
          <w:sz w:val="22"/>
          <w:szCs w:val="22"/>
        </w:rPr>
      </w:pPr>
      <w:r w:rsidRPr="00D2494A">
        <w:rPr>
          <w:rFonts w:ascii="Calibri" w:hAnsi="Calibri" w:cs="Calibri"/>
          <w:color w:val="514F4F"/>
          <w:sz w:val="22"/>
          <w:szCs w:val="22"/>
        </w:rPr>
        <w:t>Concrete casuïstiek en praktijkoplossingen</w:t>
      </w:r>
    </w:p>
    <w:p w14:paraId="2D2E0370" w14:textId="77777777" w:rsidR="00D2494A" w:rsidRDefault="00D2494A" w:rsidP="0060786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2610C60A" w14:textId="51335DF3" w:rsidR="00F7551B" w:rsidRPr="00607865" w:rsidRDefault="00D2494A" w:rsidP="0060786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17.15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="00F7551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Afsluiting en vragen</w:t>
      </w:r>
    </w:p>
    <w:p w14:paraId="4A8F1748" w14:textId="77777777" w:rsidR="00607865" w:rsidRPr="00607865" w:rsidRDefault="00607865" w:rsidP="00607865">
      <w:pPr>
        <w:rPr>
          <w:rFonts w:ascii="Calibri" w:eastAsia="Times New Roman" w:hAnsi="Calibri" w:cs="Calibri"/>
          <w:color w:val="000000"/>
          <w:lang w:eastAsia="nl-NL"/>
        </w:rPr>
      </w:pPr>
      <w:r w:rsidRPr="0060786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5D9B9798" w14:textId="77777777" w:rsidR="00D2494A" w:rsidRDefault="00D2494A" w:rsidP="0060786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</w:p>
    <w:p w14:paraId="75F5E772" w14:textId="3AA81788" w:rsidR="00D2494A" w:rsidRPr="00D2494A" w:rsidRDefault="00D2494A" w:rsidP="0060786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 w:rsidRPr="00D2494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Leerdoelen:</w:t>
      </w:r>
    </w:p>
    <w:p w14:paraId="6E7D09A2" w14:textId="7DB3B457" w:rsidR="00607865" w:rsidRPr="00607865" w:rsidRDefault="00607865" w:rsidP="00607865">
      <w:pPr>
        <w:rPr>
          <w:rFonts w:ascii="Calibri" w:eastAsia="Times New Roman" w:hAnsi="Calibri" w:cs="Calibri"/>
          <w:color w:val="000000"/>
          <w:lang w:eastAsia="nl-NL"/>
        </w:rPr>
      </w:pPr>
      <w:r w:rsidRPr="0060786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DEZE NASCHOLING HEEFT ALS DOEL OM INZICHT TE KRIJGEN  IN:</w:t>
      </w:r>
    </w:p>
    <w:p w14:paraId="5751BA35" w14:textId="5C65C4A3" w:rsidR="00607865" w:rsidRDefault="00B6128A" w:rsidP="00B6128A">
      <w:pPr>
        <w:ind w:left="708" w:firstLine="708"/>
        <w:rPr>
          <w:rFonts w:ascii="Calibri" w:eastAsia="Times New Roman" w:hAnsi="Calibri" w:cs="Calibri"/>
          <w:color w:val="514F4F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514F4F"/>
          <w:sz w:val="22"/>
          <w:szCs w:val="22"/>
          <w:lang w:eastAsia="nl-NL"/>
        </w:rPr>
        <w:t>Kennis van de NVAB richtlijn arbeidsconflicten</w:t>
      </w:r>
    </w:p>
    <w:p w14:paraId="1D983593" w14:textId="19D45364" w:rsidR="00B6128A" w:rsidRDefault="00B6128A" w:rsidP="00607865">
      <w:pPr>
        <w:ind w:left="1440"/>
        <w:rPr>
          <w:rFonts w:ascii="Calibri" w:eastAsia="Times New Roman" w:hAnsi="Calibri" w:cs="Calibri"/>
          <w:color w:val="514F4F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514F4F"/>
          <w:sz w:val="22"/>
          <w:szCs w:val="22"/>
          <w:lang w:eastAsia="nl-NL"/>
        </w:rPr>
        <w:t>Verschil NVAB richtlijn en STECR richtlijn arbeidsconflicten</w:t>
      </w:r>
    </w:p>
    <w:p w14:paraId="018FD0F7" w14:textId="560EFBEB" w:rsidR="00B6128A" w:rsidRDefault="00B6128A" w:rsidP="00607865">
      <w:pPr>
        <w:ind w:left="1440"/>
        <w:rPr>
          <w:rFonts w:ascii="Calibri" w:eastAsia="Times New Roman" w:hAnsi="Calibri" w:cs="Calibri"/>
          <w:color w:val="514F4F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514F4F"/>
          <w:sz w:val="22"/>
          <w:szCs w:val="22"/>
          <w:lang w:eastAsia="nl-NL"/>
        </w:rPr>
        <w:t>Kennis van de diverse fases binnen een arbeidsconflict</w:t>
      </w:r>
    </w:p>
    <w:p w14:paraId="17E33D95" w14:textId="30607BE2" w:rsidR="00B6128A" w:rsidRDefault="00B6128A" w:rsidP="00607865">
      <w:pPr>
        <w:ind w:left="1440"/>
        <w:rPr>
          <w:rFonts w:ascii="Calibri" w:eastAsia="Times New Roman" w:hAnsi="Calibri" w:cs="Calibri"/>
          <w:color w:val="514F4F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514F4F"/>
          <w:sz w:val="22"/>
          <w:szCs w:val="22"/>
          <w:lang w:eastAsia="nl-NL"/>
        </w:rPr>
        <w:t>Gebruik van de time out periode</w:t>
      </w:r>
    </w:p>
    <w:p w14:paraId="007D62E6" w14:textId="21C15081" w:rsidR="00B6128A" w:rsidRDefault="00B6128A" w:rsidP="00607865">
      <w:pPr>
        <w:ind w:left="1440"/>
        <w:rPr>
          <w:rFonts w:ascii="Calibri" w:eastAsia="Times New Roman" w:hAnsi="Calibri" w:cs="Calibri"/>
          <w:color w:val="514F4F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514F4F"/>
          <w:sz w:val="22"/>
          <w:szCs w:val="22"/>
          <w:lang w:eastAsia="nl-NL"/>
        </w:rPr>
        <w:t>Kennis van de diverse stijlen van conflicthantering</w:t>
      </w:r>
    </w:p>
    <w:p w14:paraId="103A3138" w14:textId="32791FD4" w:rsidR="00B6128A" w:rsidRDefault="00B6128A" w:rsidP="00607865">
      <w:pPr>
        <w:ind w:left="1440"/>
        <w:rPr>
          <w:rFonts w:ascii="Calibri" w:eastAsia="Times New Roman" w:hAnsi="Calibri" w:cs="Calibri"/>
          <w:color w:val="514F4F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514F4F"/>
          <w:sz w:val="22"/>
          <w:szCs w:val="22"/>
          <w:lang w:eastAsia="nl-NL"/>
        </w:rPr>
        <w:t xml:space="preserve">Diverse vormen van </w:t>
      </w:r>
      <w:proofErr w:type="spellStart"/>
      <w:r>
        <w:rPr>
          <w:rFonts w:ascii="Calibri" w:eastAsia="Times New Roman" w:hAnsi="Calibri" w:cs="Calibri"/>
          <w:color w:val="514F4F"/>
          <w:sz w:val="22"/>
          <w:szCs w:val="22"/>
          <w:lang w:eastAsia="nl-NL"/>
        </w:rPr>
        <w:t>mediation</w:t>
      </w:r>
      <w:proofErr w:type="spellEnd"/>
    </w:p>
    <w:p w14:paraId="6BC6CDC6" w14:textId="512CDE53" w:rsidR="00B6128A" w:rsidRDefault="00B6128A" w:rsidP="00607865">
      <w:pPr>
        <w:ind w:left="1440"/>
        <w:rPr>
          <w:rFonts w:ascii="Calibri" w:eastAsia="Times New Roman" w:hAnsi="Calibri" w:cs="Calibri"/>
          <w:color w:val="514F4F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514F4F"/>
          <w:sz w:val="22"/>
          <w:szCs w:val="22"/>
          <w:lang w:eastAsia="nl-NL"/>
        </w:rPr>
        <w:t xml:space="preserve">Voor en nadelen van </w:t>
      </w:r>
      <w:proofErr w:type="spellStart"/>
      <w:r>
        <w:rPr>
          <w:rFonts w:ascii="Calibri" w:eastAsia="Times New Roman" w:hAnsi="Calibri" w:cs="Calibri"/>
          <w:color w:val="514F4F"/>
          <w:sz w:val="22"/>
          <w:szCs w:val="22"/>
          <w:lang w:eastAsia="nl-NL"/>
        </w:rPr>
        <w:t>mediation</w:t>
      </w:r>
      <w:proofErr w:type="spellEnd"/>
    </w:p>
    <w:p w14:paraId="02BAE39B" w14:textId="2839FC67" w:rsidR="00B6128A" w:rsidRDefault="00B6128A" w:rsidP="00B6128A">
      <w:pPr>
        <w:ind w:left="1440"/>
        <w:rPr>
          <w:rFonts w:ascii="Calibri" w:eastAsia="Times New Roman" w:hAnsi="Calibri" w:cs="Calibri"/>
          <w:color w:val="514F4F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514F4F"/>
          <w:sz w:val="22"/>
          <w:szCs w:val="22"/>
          <w:lang w:eastAsia="nl-NL"/>
        </w:rPr>
        <w:t>De wijze waarop men als bedrijfsarts concreet kan adviseren bij arbeidsconflicten</w:t>
      </w:r>
    </w:p>
    <w:p w14:paraId="6440EA25" w14:textId="0615E034" w:rsidR="00B6128A" w:rsidRDefault="00B6128A" w:rsidP="00B6128A">
      <w:pPr>
        <w:ind w:left="1440"/>
        <w:rPr>
          <w:rFonts w:ascii="Calibri" w:eastAsia="Times New Roman" w:hAnsi="Calibri" w:cs="Calibri"/>
          <w:color w:val="514F4F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514F4F"/>
          <w:sz w:val="22"/>
          <w:szCs w:val="22"/>
          <w:lang w:eastAsia="nl-NL"/>
        </w:rPr>
        <w:t>Rol van de second opinion bedrijfsarts</w:t>
      </w:r>
    </w:p>
    <w:p w14:paraId="1046E843" w14:textId="41992990" w:rsidR="00B6128A" w:rsidRDefault="00B6128A" w:rsidP="00B6128A">
      <w:pPr>
        <w:ind w:left="1440"/>
        <w:rPr>
          <w:rFonts w:ascii="Calibri" w:eastAsia="Times New Roman" w:hAnsi="Calibri" w:cs="Calibri"/>
          <w:color w:val="514F4F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514F4F"/>
          <w:sz w:val="22"/>
          <w:szCs w:val="22"/>
          <w:lang w:eastAsia="nl-NL"/>
        </w:rPr>
        <w:t>Verschil en gebruik deskundigenoordeel en second opinion bedrijfsarts</w:t>
      </w:r>
    </w:p>
    <w:p w14:paraId="2BDC59E6" w14:textId="5DEE806A" w:rsidR="00B6128A" w:rsidRPr="00607865" w:rsidRDefault="00B6128A" w:rsidP="00B6128A">
      <w:pPr>
        <w:ind w:left="1440"/>
        <w:rPr>
          <w:rFonts w:ascii="Calibri" w:eastAsia="Times New Roman" w:hAnsi="Calibri" w:cs="Calibri"/>
          <w:color w:val="514F4F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514F4F"/>
          <w:sz w:val="22"/>
          <w:szCs w:val="22"/>
          <w:lang w:eastAsia="nl-NL"/>
        </w:rPr>
        <w:t>Concrete casuïstiek en praktijkoplossingen</w:t>
      </w:r>
    </w:p>
    <w:p w14:paraId="7561573F" w14:textId="77777777" w:rsidR="00607865" w:rsidRPr="00607865" w:rsidRDefault="00607865" w:rsidP="00607865">
      <w:pPr>
        <w:rPr>
          <w:rFonts w:ascii="Calibri" w:eastAsia="Times New Roman" w:hAnsi="Calibri" w:cs="Calibri"/>
          <w:color w:val="000000"/>
          <w:lang w:eastAsia="nl-NL"/>
        </w:rPr>
      </w:pPr>
      <w:r w:rsidRPr="00607865">
        <w:rPr>
          <w:rFonts w:ascii="Verdana" w:eastAsia="Times New Roman" w:hAnsi="Verdana" w:cs="Calibri"/>
          <w:color w:val="514F4F"/>
          <w:sz w:val="17"/>
          <w:szCs w:val="17"/>
          <w:lang w:eastAsia="nl-NL"/>
        </w:rPr>
        <w:t> </w:t>
      </w:r>
    </w:p>
    <w:p w14:paraId="30C136E5" w14:textId="12E41EA0" w:rsidR="00607865" w:rsidRDefault="00607865">
      <w:pPr>
        <w:rPr>
          <w:rFonts w:ascii="Verdana" w:eastAsia="Times New Roman" w:hAnsi="Verdana" w:cs="Calibri"/>
          <w:color w:val="514F4F"/>
          <w:sz w:val="17"/>
          <w:szCs w:val="17"/>
          <w:lang w:eastAsia="nl-NL"/>
        </w:rPr>
      </w:pPr>
      <w:r w:rsidRPr="00607865">
        <w:rPr>
          <w:rFonts w:ascii="Verdana" w:eastAsia="Times New Roman" w:hAnsi="Verdana" w:cs="Calibri"/>
          <w:color w:val="514F4F"/>
          <w:sz w:val="17"/>
          <w:szCs w:val="17"/>
          <w:lang w:eastAsia="nl-NL"/>
        </w:rPr>
        <w:t> </w:t>
      </w:r>
    </w:p>
    <w:p w14:paraId="5477988C" w14:textId="720E92A5" w:rsidR="00F7551B" w:rsidRDefault="00F7551B">
      <w:pPr>
        <w:rPr>
          <w:rFonts w:ascii="Verdana" w:eastAsia="Times New Roman" w:hAnsi="Verdana" w:cs="Calibri"/>
          <w:color w:val="514F4F"/>
          <w:sz w:val="17"/>
          <w:szCs w:val="17"/>
          <w:lang w:eastAsia="nl-NL"/>
        </w:rPr>
      </w:pPr>
      <w:r>
        <w:rPr>
          <w:rFonts w:ascii="Verdana" w:eastAsia="Times New Roman" w:hAnsi="Verdana" w:cs="Calibri"/>
          <w:color w:val="514F4F"/>
          <w:sz w:val="17"/>
          <w:szCs w:val="17"/>
          <w:lang w:eastAsia="nl-NL"/>
        </w:rPr>
        <w:t xml:space="preserve">Vooralsnog zal deze nascholing online plaatsvinden waarbij bijgehouden wordt of deelnemers deze bijwonen. </w:t>
      </w:r>
    </w:p>
    <w:p w14:paraId="7FBD6F91" w14:textId="77777777" w:rsidR="00F7551B" w:rsidRPr="00B6128A" w:rsidRDefault="00F7551B">
      <w:pPr>
        <w:rPr>
          <w:rFonts w:ascii="Calibri" w:eastAsia="Times New Roman" w:hAnsi="Calibri" w:cs="Calibri"/>
          <w:color w:val="000000"/>
          <w:lang w:eastAsia="nl-NL"/>
        </w:rPr>
      </w:pPr>
    </w:p>
    <w:p w14:paraId="3BB58803" w14:textId="6DF8C8B6" w:rsidR="00607865" w:rsidRPr="00D2494A" w:rsidRDefault="00607865">
      <w:pPr>
        <w:rPr>
          <w:b/>
          <w:bCs/>
        </w:rPr>
      </w:pPr>
      <w:r w:rsidRPr="00D2494A">
        <w:rPr>
          <w:b/>
          <w:bCs/>
        </w:rPr>
        <w:lastRenderedPageBreak/>
        <w:t>Deelnemers</w:t>
      </w:r>
      <w:r w:rsidR="00B6128A" w:rsidRPr="00D2494A">
        <w:rPr>
          <w:b/>
          <w:bCs/>
        </w:rPr>
        <w:t>:</w:t>
      </w:r>
    </w:p>
    <w:p w14:paraId="4409A4FE" w14:textId="114B6E33" w:rsidR="00607865" w:rsidRDefault="00607865">
      <w:r>
        <w:t>Linda Reijer</w:t>
      </w:r>
      <w:r w:rsidR="00B6128A">
        <w:t>kerk mediator</w:t>
      </w:r>
    </w:p>
    <w:p w14:paraId="15CF4384" w14:textId="39B57D3F" w:rsidR="00B6128A" w:rsidRDefault="00B6128A">
      <w:r>
        <w:t>Igor Jansen, arbeidsrechtadvocaat</w:t>
      </w:r>
    </w:p>
    <w:p w14:paraId="0292AE7C" w14:textId="6F230FCB" w:rsidR="00B6128A" w:rsidRDefault="00B6128A">
      <w:r>
        <w:t>Pim Berkhout, second opinion bedrijfsarts, gerechtelijk deskundige</w:t>
      </w:r>
    </w:p>
    <w:p w14:paraId="79F33AB0" w14:textId="5CD92EC5" w:rsidR="00B6128A" w:rsidRDefault="00B6128A"/>
    <w:sectPr w:rsidR="00B6128A" w:rsidSect="002D1E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CA7"/>
    <w:multiLevelType w:val="multilevel"/>
    <w:tmpl w:val="DA96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D7E2F"/>
    <w:multiLevelType w:val="hybridMultilevel"/>
    <w:tmpl w:val="357431C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E318E3"/>
    <w:multiLevelType w:val="hybridMultilevel"/>
    <w:tmpl w:val="0612369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E47FE2"/>
    <w:multiLevelType w:val="hybridMultilevel"/>
    <w:tmpl w:val="9C587F5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215415"/>
    <w:multiLevelType w:val="multilevel"/>
    <w:tmpl w:val="CA1E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1575A0"/>
    <w:multiLevelType w:val="multilevel"/>
    <w:tmpl w:val="7DAC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3E354A"/>
    <w:multiLevelType w:val="multilevel"/>
    <w:tmpl w:val="5042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3F3864"/>
    <w:multiLevelType w:val="multilevel"/>
    <w:tmpl w:val="27C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496501"/>
    <w:multiLevelType w:val="multilevel"/>
    <w:tmpl w:val="5E8236B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731534DC"/>
    <w:multiLevelType w:val="multilevel"/>
    <w:tmpl w:val="11F0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455B27"/>
    <w:multiLevelType w:val="multilevel"/>
    <w:tmpl w:val="593A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65"/>
    <w:rsid w:val="001B07E0"/>
    <w:rsid w:val="002D1E1B"/>
    <w:rsid w:val="00607865"/>
    <w:rsid w:val="00835EC3"/>
    <w:rsid w:val="00B6128A"/>
    <w:rsid w:val="00D2494A"/>
    <w:rsid w:val="00F7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3B8A"/>
  <w15:chartTrackingRefBased/>
  <w15:docId w15:val="{8F001827-F573-874E-A5A4-517BA828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78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60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Bruggenkamp</dc:creator>
  <cp:keywords/>
  <dc:description/>
  <cp:lastModifiedBy>Marleen Hoijtink | ICARA</cp:lastModifiedBy>
  <cp:revision>2</cp:revision>
  <dcterms:created xsi:type="dcterms:W3CDTF">2021-09-14T09:15:00Z</dcterms:created>
  <dcterms:modified xsi:type="dcterms:W3CDTF">2021-09-14T09:15:00Z</dcterms:modified>
</cp:coreProperties>
</file>